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0" w:rsidRPr="00D356AE" w:rsidRDefault="001B3930" w:rsidP="001B3930">
      <w:pPr>
        <w:bidi/>
        <w:ind w:left="360"/>
        <w:jc w:val="center"/>
        <w:rPr>
          <w:rFonts w:cs="Traditional Arabic"/>
          <w:b/>
          <w:bCs/>
          <w:color w:val="000000"/>
          <w:sz w:val="40"/>
          <w:szCs w:val="40"/>
          <w:lang w:bidi="ar-DZ"/>
        </w:rPr>
      </w:pPr>
      <w:r w:rsidRPr="00D356AE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الجمهوريـة الجزائريـة الديمقراطيـة الشعبيـة</w:t>
      </w:r>
    </w:p>
    <w:p w:rsidR="001B3930" w:rsidRPr="004C753D" w:rsidRDefault="001B3930" w:rsidP="001B3930">
      <w:pPr>
        <w:pStyle w:val="Default"/>
        <w:bidi/>
        <w:rPr>
          <w:rFonts w:ascii="Comic Sans MS" w:hAnsi="Comic Sans MS"/>
        </w:rPr>
      </w:pPr>
      <w:r w:rsidRPr="00D356AE">
        <w:rPr>
          <w:rFonts w:ascii="Traditional Arabic" w:cs="Traditional Arabic" w:hint="cs"/>
          <w:sz w:val="40"/>
          <w:szCs w:val="40"/>
          <w:rtl/>
        </w:rPr>
        <w:t xml:space="preserve">   </w:t>
      </w:r>
      <w:r w:rsidRPr="00D356AE">
        <w:rPr>
          <w:rFonts w:cs="Traditional Arabic" w:hint="cs"/>
          <w:sz w:val="40"/>
          <w:szCs w:val="40"/>
          <w:rtl/>
        </w:rPr>
        <w:t>وزارة الــتجــــــــــــــــــــارة</w:t>
      </w:r>
      <w:r>
        <w:rPr>
          <w:rFonts w:cs="Traditional Arabic"/>
          <w:szCs w:val="28"/>
        </w:rPr>
        <w:t xml:space="preserve"> </w:t>
      </w:r>
      <w:r w:rsidRPr="00D356AE">
        <w:rPr>
          <w:rFonts w:cs="Traditional Arabic"/>
          <w:sz w:val="28"/>
          <w:szCs w:val="28"/>
        </w:rPr>
        <w:t>Ministère de Commerce</w:t>
      </w:r>
      <w:r>
        <w:rPr>
          <w:rFonts w:cs="Traditional Arabic"/>
          <w:szCs w:val="28"/>
        </w:rPr>
        <w:t xml:space="preserve">                                                                                              </w:t>
      </w:r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cs="Traditional Arabic" w:hint="cs"/>
          <w:b/>
          <w:bCs/>
          <w:szCs w:val="28"/>
          <w:rtl/>
        </w:rPr>
        <w:t xml:space="preserve">غـرفـة التجـارة </w:t>
      </w:r>
      <w:r w:rsidRPr="00D356AE">
        <w:rPr>
          <w:rFonts w:cs="Traditional Arabic" w:hint="cs"/>
          <w:b/>
          <w:bCs/>
          <w:sz w:val="26"/>
          <w:szCs w:val="26"/>
          <w:rtl/>
        </w:rPr>
        <w:t>والصنـاعـة</w:t>
      </w:r>
      <w:r w:rsidRPr="00D356AE">
        <w:rPr>
          <w:rFonts w:cs="Traditional Arabic" w:hint="cs"/>
          <w:sz w:val="26"/>
          <w:szCs w:val="26"/>
          <w:rtl/>
        </w:rPr>
        <w:t xml:space="preserve">   </w:t>
      </w:r>
      <w:r w:rsidRPr="00D356AE">
        <w:rPr>
          <w:rFonts w:cs="Traditional Arabic"/>
          <w:sz w:val="26"/>
          <w:szCs w:val="26"/>
        </w:rPr>
        <w:t xml:space="preserve"> </w:t>
      </w:r>
      <w:r w:rsidRPr="00D356AE">
        <w:rPr>
          <w:rFonts w:asciiTheme="majorBidi" w:hAnsiTheme="majorBidi" w:cstheme="majorBidi"/>
          <w:sz w:val="26"/>
          <w:szCs w:val="26"/>
        </w:rPr>
        <w:t>Chambre de Commerce et d’Industrie</w:t>
      </w:r>
      <w:r w:rsidRPr="00D356AE">
        <w:rPr>
          <w:rFonts w:cs="Traditional Arabic"/>
          <w:sz w:val="26"/>
          <w:szCs w:val="26"/>
        </w:rPr>
        <w:t xml:space="preserve"> </w:t>
      </w:r>
      <w:r>
        <w:rPr>
          <w:rFonts w:cs="Traditional Arabic"/>
          <w:sz w:val="22"/>
          <w:szCs w:val="22"/>
        </w:rPr>
        <w:t xml:space="preserve">                                                                       </w:t>
      </w:r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 xml:space="preserve">مجردة ســـــــــــــوق </w:t>
      </w:r>
      <w:proofErr w:type="gramStart"/>
      <w:r w:rsidRPr="00D356AE">
        <w:rPr>
          <w:rFonts w:ascii="Traditional Arabic" w:cs="Traditional Arabic" w:hint="cs"/>
          <w:b/>
          <w:bCs/>
          <w:szCs w:val="28"/>
          <w:rtl/>
          <w:lang w:bidi="ar-DZ"/>
        </w:rPr>
        <w:t>أهــــراس</w:t>
      </w:r>
      <w:proofErr w:type="gramEnd"/>
      <w:r>
        <w:rPr>
          <w:rFonts w:ascii="Traditional Arabic" w:cs="Traditional Arabic" w:hint="cs"/>
          <w:szCs w:val="28"/>
          <w:rtl/>
          <w:lang w:bidi="ar-DZ"/>
        </w:rPr>
        <w:t xml:space="preserve"> </w:t>
      </w:r>
      <w:r w:rsidRPr="00D356AE">
        <w:rPr>
          <w:rFonts w:ascii="Traditional Arabic" w:cs="Aharoni"/>
          <w:lang w:bidi="ar-DZ"/>
        </w:rPr>
        <w:t>MEDJERDA SOUK AHRAS</w:t>
      </w:r>
      <w:r>
        <w:rPr>
          <w:rFonts w:ascii="Traditional Arabic" w:cs="Traditional Arabic"/>
          <w:szCs w:val="28"/>
          <w:lang w:bidi="ar-DZ"/>
        </w:rPr>
        <w:t xml:space="preserve">                                                                              </w:t>
      </w: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" w:hAnsi="Arial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Cs w:val="28"/>
        </w:rPr>
      </w:pPr>
    </w:p>
    <w:p w:rsidR="001B3930" w:rsidRPr="00105EF7" w:rsidRDefault="001B3930" w:rsidP="001B3930">
      <w:pPr>
        <w:spacing w:line="360" w:lineRule="auto"/>
        <w:jc w:val="center"/>
        <w:rPr>
          <w:rFonts w:ascii="Arial Black" w:hAnsi="Arial Black" w:cs="Arial"/>
          <w:color w:val="244061" w:themeColor="accent1" w:themeShade="80"/>
          <w:sz w:val="32"/>
          <w:szCs w:val="32"/>
        </w:rPr>
      </w:pPr>
      <w:r w:rsidRPr="00105EF7">
        <w:rPr>
          <w:rFonts w:ascii="Arial Black" w:hAnsi="Arial Black" w:cs="Arial"/>
          <w:color w:val="244061" w:themeColor="accent1" w:themeShade="80"/>
          <w:sz w:val="32"/>
          <w:szCs w:val="32"/>
        </w:rPr>
        <w:t>OFFRE DE FORMATION PORTANT SUR :</w:t>
      </w:r>
    </w:p>
    <w:p w:rsidR="0026210F" w:rsidRPr="0026210F" w:rsidRDefault="0026210F" w:rsidP="0026210F">
      <w:pPr>
        <w:pStyle w:val="Paragraphedeliste"/>
        <w:shd w:val="clear" w:color="auto" w:fill="92D050"/>
        <w:spacing w:line="240" w:lineRule="auto"/>
        <w:jc w:val="center"/>
        <w:rPr>
          <w:rFonts w:ascii="Comic Sans MS" w:hAnsi="Comic Sans MS" w:cs="Arial"/>
          <w:b/>
          <w:sz w:val="30"/>
          <w:szCs w:val="30"/>
        </w:rPr>
      </w:pPr>
      <w:r w:rsidRPr="0026210F">
        <w:rPr>
          <w:rFonts w:ascii="Comic Sans MS" w:hAnsi="Comic Sans MS" w:cs="Arial"/>
          <w:b/>
          <w:sz w:val="30"/>
          <w:szCs w:val="30"/>
        </w:rPr>
        <w:t>Management des ressources humaines</w:t>
      </w:r>
    </w:p>
    <w:p w:rsidR="0026210F" w:rsidRPr="0026210F" w:rsidRDefault="0026210F" w:rsidP="0026210F">
      <w:pPr>
        <w:pStyle w:val="Paragraphedeliste"/>
        <w:shd w:val="clear" w:color="auto" w:fill="92D050"/>
        <w:spacing w:line="240" w:lineRule="auto"/>
        <w:jc w:val="center"/>
        <w:rPr>
          <w:rFonts w:ascii="Comic Sans MS" w:hAnsi="Comic Sans MS" w:cs="Arial"/>
          <w:b/>
          <w:sz w:val="30"/>
          <w:szCs w:val="30"/>
        </w:rPr>
      </w:pPr>
      <w:r w:rsidRPr="0026210F">
        <w:rPr>
          <w:rFonts w:ascii="Comic Sans MS" w:hAnsi="Comic Sans MS" w:cs="Arial"/>
          <w:b/>
          <w:sz w:val="30"/>
          <w:szCs w:val="30"/>
        </w:rPr>
        <w:t>Le 02 et 03 Décembre 2015</w:t>
      </w: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1B3930" w:rsidRDefault="001B3930" w:rsidP="00017A6F">
      <w:pPr>
        <w:spacing w:after="0" w:line="300" w:lineRule="auto"/>
        <w:outlineLvl w:val="3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</w:pPr>
    </w:p>
    <w:p w:rsidR="005E2B56" w:rsidRDefault="00017A6F" w:rsidP="00017A6F">
      <w:pPr>
        <w:spacing w:after="0" w:line="300" w:lineRule="auto"/>
        <w:outlineLvl w:val="3"/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fr-FR"/>
        </w:rPr>
        <w:lastRenderedPageBreak/>
        <w:t>Madame, Monsieur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;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br/>
        <w:t xml:space="preserve"> </w:t>
      </w:r>
    </w:p>
    <w:p w:rsidR="00017A6F" w:rsidRPr="00017A6F" w:rsidRDefault="00017A6F" w:rsidP="00017A6F">
      <w:pPr>
        <w:spacing w:after="0" w:line="300" w:lineRule="auto"/>
        <w:outlineLvl w:val="3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  </w:t>
      </w:r>
      <w:r w:rsidR="005E2B56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 xml:space="preserve">  </w:t>
      </w:r>
      <w:r w:rsidRPr="00017A6F">
        <w:rPr>
          <w:rFonts w:ascii="Georgia" w:eastAsia="Times New Roman" w:hAnsi="Georgia" w:cs="Helvetica"/>
          <w:color w:val="000000"/>
          <w:sz w:val="24"/>
          <w:szCs w:val="24"/>
          <w:lang w:eastAsia="fr-FR"/>
        </w:rPr>
        <w:t>La Chambre de commerce et d’industrie Souk Ahras a le plaisir de vous annoncer qu’il organise le 25 et 26 Novembre 2015 un séminaire de formation sous le thème :</w:t>
      </w:r>
      <w:r w:rsidRPr="00017A6F">
        <w:rPr>
          <w:rFonts w:ascii="Helvetica" w:eastAsia="Times New Roman" w:hAnsi="Helvetica" w:cs="Helvetica"/>
          <w:sz w:val="24"/>
          <w:szCs w:val="24"/>
          <w:lang w:eastAsia="fr-FR"/>
        </w:rPr>
        <w:br/>
        <w:t> </w:t>
      </w:r>
    </w:p>
    <w:p w:rsidR="0026210F" w:rsidRPr="0026210F" w:rsidRDefault="0026210F" w:rsidP="0026210F">
      <w:pPr>
        <w:pStyle w:val="Paragraphedeliste"/>
        <w:shd w:val="clear" w:color="auto" w:fill="92D050"/>
        <w:spacing w:line="240" w:lineRule="auto"/>
        <w:jc w:val="center"/>
        <w:rPr>
          <w:rFonts w:ascii="Comic Sans MS" w:hAnsi="Comic Sans MS" w:cs="Arial"/>
          <w:b/>
          <w:sz w:val="30"/>
          <w:szCs w:val="30"/>
        </w:rPr>
      </w:pPr>
      <w:r w:rsidRPr="0026210F">
        <w:rPr>
          <w:rFonts w:ascii="Comic Sans MS" w:hAnsi="Comic Sans MS" w:cs="Arial"/>
          <w:b/>
          <w:sz w:val="30"/>
          <w:szCs w:val="30"/>
        </w:rPr>
        <w:t>Management des ressources humaines</w:t>
      </w:r>
    </w:p>
    <w:p w:rsidR="00017A6F" w:rsidRPr="00017A6F" w:rsidRDefault="00017A6F" w:rsidP="00017A6F">
      <w:pPr>
        <w:spacing w:after="0" w:line="240" w:lineRule="auto"/>
        <w:rPr>
          <w:rStyle w:val="lev"/>
          <w:rFonts w:ascii="Arial" w:hAnsi="Arial" w:cs="Arial"/>
          <w:color w:val="000000"/>
          <w:sz w:val="32"/>
          <w:szCs w:val="32"/>
        </w:rPr>
      </w:pPr>
    </w:p>
    <w:p w:rsidR="00017A6F" w:rsidRPr="0098055B" w:rsidRDefault="00017A6F" w:rsidP="0026210F">
      <w:pPr>
        <w:pStyle w:val="Paragraphedeliste"/>
        <w:numPr>
          <w:ilvl w:val="0"/>
          <w:numId w:val="7"/>
        </w:numPr>
        <w:spacing w:after="0" w:line="360" w:lineRule="auto"/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</w:pPr>
      <w:r w:rsidRPr="0098055B">
        <w:rPr>
          <w:rStyle w:val="lev"/>
          <w:rFonts w:ascii="Georgia" w:hAnsi="Georgia" w:cs="Arial"/>
          <w:color w:val="000000"/>
          <w:sz w:val="26"/>
          <w:szCs w:val="26"/>
        </w:rPr>
        <w:t>Population</w:t>
      </w:r>
      <w:r w:rsidR="0042546F">
        <w:rPr>
          <w:rStyle w:val="lev"/>
          <w:rFonts w:ascii="Georgia" w:hAnsi="Georgia" w:cs="Arial"/>
          <w:color w:val="000000"/>
          <w:sz w:val="26"/>
          <w:szCs w:val="26"/>
        </w:rPr>
        <w:t>s ciblées</w:t>
      </w:r>
      <w:r w:rsidRPr="0098055B">
        <w:rPr>
          <w:rStyle w:val="lev"/>
          <w:rFonts w:ascii="Georgia" w:hAnsi="Georgia" w:cs="Arial"/>
          <w:color w:val="000000"/>
          <w:sz w:val="26"/>
          <w:szCs w:val="26"/>
        </w:rPr>
        <w:t> :</w:t>
      </w:r>
      <w:r w:rsidRPr="0098055B">
        <w:rPr>
          <w:rStyle w:val="lev"/>
          <w:rFonts w:ascii="Arial" w:hAnsi="Arial" w:cs="Arial"/>
          <w:color w:val="000000"/>
          <w:sz w:val="26"/>
          <w:szCs w:val="26"/>
        </w:rPr>
        <w:t xml:space="preserve"> </w:t>
      </w:r>
      <w:r w:rsidRPr="0098055B">
        <w:rPr>
          <w:color w:val="000000"/>
          <w:sz w:val="26"/>
          <w:szCs w:val="26"/>
        </w:rPr>
        <w:br/>
      </w:r>
      <w:r w:rsidRPr="0098055B">
        <w:rPr>
          <w:rStyle w:val="lev"/>
          <w:rFonts w:ascii="Arial" w:hAnsi="Arial" w:cs="Arial"/>
          <w:color w:val="000000"/>
          <w:sz w:val="14"/>
          <w:szCs w:val="14"/>
        </w:rPr>
        <w:t xml:space="preserve">  </w:t>
      </w:r>
      <w:r w:rsidRPr="0098055B">
        <w:rPr>
          <w:color w:val="000000"/>
        </w:rPr>
        <w:t xml:space="preserve">    </w:t>
      </w:r>
      <w:r w:rsidR="0026210F"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  <w:t xml:space="preserve">DRH </w:t>
      </w:r>
      <w:r w:rsidRPr="0098055B"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  <w:t>- </w:t>
      </w:r>
      <w:r w:rsidR="0026210F">
        <w:rPr>
          <w:rFonts w:ascii="CenturyGothic" w:hAnsi="CenturyGothic" w:cs="CenturyGothic"/>
        </w:rPr>
        <w:t xml:space="preserve">Responsables de Formation – Gestionnaire - </w:t>
      </w:r>
      <w:r w:rsidRPr="0098055B">
        <w:rPr>
          <w:rStyle w:val="lev"/>
          <w:rFonts w:ascii="Georgia" w:hAnsi="Georgia" w:cs="Arial"/>
          <w:b w:val="0"/>
          <w:bCs w:val="0"/>
          <w:color w:val="000000"/>
          <w:sz w:val="24"/>
          <w:szCs w:val="24"/>
        </w:rPr>
        <w:t>Autres cadres et agents intéressés.</w:t>
      </w:r>
    </w:p>
    <w:p w:rsidR="0098055B" w:rsidRPr="0098055B" w:rsidRDefault="0098055B" w:rsidP="0098055B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  <w:r w:rsidRPr="0098055B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Objectifs de formation</w:t>
      </w:r>
    </w:p>
    <w:p w:rsidR="0098055B" w:rsidRPr="0098055B" w:rsidRDefault="0098055B" w:rsidP="0098055B">
      <w:p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</w:p>
    <w:p w:rsidR="009E0F69" w:rsidRPr="009E0F69" w:rsidRDefault="009E0F69" w:rsidP="009E0F69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9E0F69">
        <w:rPr>
          <w:rFonts w:ascii="Arial" w:hAnsi="Arial" w:cs="Arial"/>
          <w:sz w:val="24"/>
          <w:szCs w:val="24"/>
        </w:rPr>
        <w:t>►Permettre aux participants de prendre connaissance des nouvelles logiques de réponse aux défis de la gestion des ressources humaines.</w:t>
      </w:r>
    </w:p>
    <w:p w:rsidR="009E0F69" w:rsidRPr="009E0F69" w:rsidRDefault="009E0F69" w:rsidP="009E0F69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9E0F69" w:rsidRPr="009E0F69" w:rsidRDefault="009E0F69" w:rsidP="009E0F69">
      <w:pPr>
        <w:pStyle w:val="Paragraphedeliste"/>
        <w:jc w:val="both"/>
        <w:rPr>
          <w:rFonts w:ascii="Arial" w:hAnsi="Arial" w:cs="Arial"/>
          <w:sz w:val="24"/>
          <w:szCs w:val="24"/>
        </w:rPr>
      </w:pPr>
      <w:r w:rsidRPr="009E0F69">
        <w:rPr>
          <w:rFonts w:ascii="Arial" w:hAnsi="Arial" w:cs="Arial"/>
          <w:sz w:val="24"/>
          <w:szCs w:val="24"/>
        </w:rPr>
        <w:t>► Comprendre la nécessité du renouvellement des pratiques du management des ressources humaines, facteur clé de l’efficacité de l’organisation.</w:t>
      </w:r>
    </w:p>
    <w:p w:rsidR="009E0F69" w:rsidRPr="009E0F69" w:rsidRDefault="009E0F69" w:rsidP="009E0F69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9E0F69" w:rsidRPr="009E0F69" w:rsidRDefault="009E0F69" w:rsidP="009E0F69">
      <w:pPr>
        <w:pStyle w:val="Paragraphedeliste"/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9E0F69">
        <w:rPr>
          <w:rFonts w:ascii="Arial" w:hAnsi="Arial" w:cs="Arial"/>
          <w:sz w:val="24"/>
          <w:szCs w:val="24"/>
        </w:rPr>
        <w:t>► Acquérir une vision globale et cohérente des processus ressources humaines dont notamment ceux relatifs à la gestion prévisionnelle des ressources humaines, l’évaluation des compétences, la gestion des carrières, de la rémunération et de l</w:t>
      </w:r>
      <w:r w:rsidRPr="009E0F69">
        <w:rPr>
          <w:rFonts w:ascii="Arial" w:hAnsi="Arial" w:cs="Arial"/>
          <w:sz w:val="24"/>
          <w:szCs w:val="24"/>
        </w:rPr>
        <w:tab/>
        <w:t xml:space="preserve">a formation. </w:t>
      </w:r>
    </w:p>
    <w:p w:rsidR="0098055B" w:rsidRPr="009E0F69" w:rsidRDefault="0098055B" w:rsidP="0098055B">
      <w:pPr>
        <w:pStyle w:val="Paragraphedeliste"/>
        <w:rPr>
          <w:rFonts w:ascii="Arial" w:eastAsia="Times New Roman" w:hAnsi="Arial" w:cs="Arial"/>
          <w:sz w:val="21"/>
          <w:szCs w:val="21"/>
          <w:lang w:eastAsia="fr-FR"/>
        </w:rPr>
      </w:pPr>
    </w:p>
    <w:p w:rsidR="0098055B" w:rsidRPr="0098055B" w:rsidRDefault="0098055B" w:rsidP="0098055B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  <w:r w:rsidRPr="0098055B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Méthodologie et approche pédagogique</w:t>
      </w:r>
    </w:p>
    <w:p w:rsidR="0098055B" w:rsidRPr="0098055B" w:rsidRDefault="0098055B" w:rsidP="0098055B">
      <w:pPr>
        <w:spacing w:after="0" w:line="240" w:lineRule="auto"/>
        <w:rPr>
          <w:rFonts w:ascii="Georgia" w:eastAsia="Times New Roman" w:hAnsi="Georgia" w:cs="Arial"/>
          <w:b/>
          <w:bCs/>
          <w:sz w:val="26"/>
          <w:szCs w:val="26"/>
          <w:lang w:eastAsia="fr-FR"/>
        </w:rPr>
      </w:pPr>
    </w:p>
    <w:p w:rsidR="0098055B" w:rsidRPr="0098055B" w:rsidRDefault="0098055B" w:rsidP="0026210F">
      <w:pPr>
        <w:pStyle w:val="Paragraphedeliste"/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Exposé</w:t>
      </w:r>
    </w:p>
    <w:p w:rsidR="0098055B" w:rsidRPr="0098055B" w:rsidRDefault="0098055B" w:rsidP="0026210F">
      <w:pPr>
        <w:pStyle w:val="Paragraphedeliste"/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Discussion</w:t>
      </w:r>
    </w:p>
    <w:p w:rsidR="0098055B" w:rsidRPr="0098055B" w:rsidRDefault="0098055B" w:rsidP="0026210F">
      <w:pPr>
        <w:pStyle w:val="Paragraphedeliste"/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Illustrations à travers des cas pratiques</w:t>
      </w:r>
    </w:p>
    <w:p w:rsidR="0098055B" w:rsidRPr="0098055B" w:rsidRDefault="0098055B" w:rsidP="0026210F">
      <w:pPr>
        <w:pStyle w:val="Paragraphedeliste"/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Supports documentaires des journées de formation.</w:t>
      </w:r>
    </w:p>
    <w:p w:rsidR="0098055B" w:rsidRDefault="0098055B" w:rsidP="0026210F">
      <w:pPr>
        <w:pStyle w:val="Paragraphedeliste"/>
        <w:numPr>
          <w:ilvl w:val="0"/>
          <w:numId w:val="8"/>
        </w:num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 xml:space="preserve">Projection par data </w:t>
      </w:r>
      <w:r w:rsidR="00C86259">
        <w:rPr>
          <w:rFonts w:ascii="Georgia" w:eastAsia="Times New Roman" w:hAnsi="Georgia" w:cs="Arial"/>
          <w:sz w:val="24"/>
          <w:szCs w:val="24"/>
          <w:lang w:eastAsia="fr-FR"/>
        </w:rPr>
        <w:t>–</w:t>
      </w:r>
      <w:r w:rsidRPr="0098055B">
        <w:rPr>
          <w:rFonts w:ascii="Georgia" w:eastAsia="Times New Roman" w:hAnsi="Georgia" w:cs="Arial"/>
          <w:sz w:val="24"/>
          <w:szCs w:val="24"/>
          <w:lang w:eastAsia="fr-FR"/>
        </w:rPr>
        <w:t>show</w:t>
      </w:r>
      <w:r w:rsidR="00C86259">
        <w:rPr>
          <w:rFonts w:ascii="Georgia" w:eastAsia="Times New Roman" w:hAnsi="Georgia" w:cs="Arial"/>
          <w:sz w:val="24"/>
          <w:szCs w:val="24"/>
          <w:lang w:eastAsia="fr-FR"/>
        </w:rPr>
        <w:t>.</w:t>
      </w:r>
    </w:p>
    <w:p w:rsidR="00C86259" w:rsidRPr="00C86259" w:rsidRDefault="00C86259" w:rsidP="00C86259">
      <w:pPr>
        <w:pStyle w:val="Paragraphedeliste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C86259" w:rsidRPr="00C86259" w:rsidRDefault="00C86259" w:rsidP="009E0F69">
      <w:pPr>
        <w:pStyle w:val="Paragraphedeliste"/>
        <w:numPr>
          <w:ilvl w:val="0"/>
          <w:numId w:val="7"/>
        </w:numPr>
        <w:spacing w:after="0" w:line="240" w:lineRule="auto"/>
        <w:rPr>
          <w:rFonts w:ascii="Georgia" w:eastAsia="Times New Roman" w:hAnsi="Georgia" w:cs="Arial"/>
          <w:sz w:val="26"/>
          <w:szCs w:val="26"/>
          <w:lang w:eastAsia="fr-FR"/>
        </w:rPr>
      </w:pPr>
      <w:r w:rsidRPr="00C86259">
        <w:rPr>
          <w:rFonts w:ascii="Georgia" w:eastAsia="Times New Roman" w:hAnsi="Georgia" w:cs="Arial"/>
          <w:sz w:val="26"/>
          <w:szCs w:val="26"/>
          <w:lang w:eastAsia="fr-FR"/>
        </w:rPr>
        <w:t>Formateur</w:t>
      </w:r>
      <w:r w:rsidR="005E2B56">
        <w:rPr>
          <w:rFonts w:ascii="Georgia" w:eastAsia="Times New Roman" w:hAnsi="Georgia" w:cs="Arial"/>
          <w:sz w:val="26"/>
          <w:szCs w:val="26"/>
          <w:lang w:eastAsia="fr-FR"/>
        </w:rPr>
        <w:t xml:space="preserve"> : 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M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vertAlign w:val="superscript"/>
          <w:lang w:eastAsia="fr-FR"/>
        </w:rPr>
        <w:t>r</w:t>
      </w:r>
      <w:r w:rsidR="005E2B56" w:rsidRPr="005E2B56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 xml:space="preserve"> </w:t>
      </w:r>
      <w:r w:rsidR="009E0F69">
        <w:rPr>
          <w:rFonts w:ascii="Georgia" w:eastAsia="Times New Roman" w:hAnsi="Georgia" w:cs="Arial"/>
          <w:b/>
          <w:bCs/>
          <w:sz w:val="26"/>
          <w:szCs w:val="26"/>
          <w:lang w:eastAsia="fr-FR"/>
        </w:rPr>
        <w:t>HARATH Kamel/</w:t>
      </w:r>
      <w:r w:rsidR="005E2B56">
        <w:rPr>
          <w:rFonts w:ascii="Georgia" w:eastAsia="Times New Roman" w:hAnsi="Georgia" w:cs="Arial"/>
          <w:sz w:val="26"/>
          <w:szCs w:val="26"/>
          <w:lang w:eastAsia="fr-FR"/>
        </w:rPr>
        <w:t> </w:t>
      </w:r>
      <w:r w:rsidR="009E0F69">
        <w:rPr>
          <w:rFonts w:ascii="Georgia" w:eastAsia="Times New Roman" w:hAnsi="Georgia" w:cs="Arial"/>
          <w:sz w:val="26"/>
          <w:szCs w:val="26"/>
          <w:lang w:eastAsia="fr-FR"/>
        </w:rPr>
        <w:t>E</w:t>
      </w:r>
      <w:r w:rsidR="005E2B56">
        <w:rPr>
          <w:rFonts w:ascii="Georgia" w:eastAsia="Times New Roman" w:hAnsi="Georgia" w:cs="Arial"/>
          <w:sz w:val="26"/>
          <w:szCs w:val="26"/>
          <w:lang w:eastAsia="fr-FR"/>
        </w:rPr>
        <w:t>xpert consultant IVPME Annaba.</w:t>
      </w:r>
    </w:p>
    <w:p w:rsidR="0098055B" w:rsidRDefault="0098055B" w:rsidP="0098055B">
      <w:p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C86259" w:rsidRPr="0098055B" w:rsidRDefault="00C86259" w:rsidP="0098055B">
      <w:pPr>
        <w:spacing w:after="0" w:line="360" w:lineRule="auto"/>
        <w:rPr>
          <w:rFonts w:ascii="Georgia" w:eastAsia="Times New Roman" w:hAnsi="Georgia" w:cs="Arial"/>
          <w:sz w:val="24"/>
          <w:szCs w:val="24"/>
          <w:lang w:eastAsia="fr-FR"/>
        </w:rPr>
      </w:pPr>
    </w:p>
    <w:p w:rsidR="0098055B" w:rsidRPr="0098055B" w:rsidRDefault="0098055B" w:rsidP="0098055B">
      <w:pPr>
        <w:pStyle w:val="Paragraphedeliste"/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fr-FR"/>
        </w:rPr>
      </w:pPr>
    </w:p>
    <w:p w:rsidR="00017A6F" w:rsidRDefault="00017A6F" w:rsidP="0098055B">
      <w:pPr>
        <w:spacing w:after="0" w:line="360" w:lineRule="auto"/>
        <w:ind w:left="284"/>
        <w:rPr>
          <w:rStyle w:val="lev"/>
          <w:rFonts w:ascii="Georgia" w:hAnsi="Georgia" w:cs="Arial"/>
          <w:color w:val="000000"/>
          <w:sz w:val="26"/>
          <w:szCs w:val="26"/>
        </w:rPr>
      </w:pPr>
    </w:p>
    <w:p w:rsidR="009E0F69" w:rsidRDefault="009E0F69" w:rsidP="0098055B">
      <w:pPr>
        <w:spacing w:after="0" w:line="360" w:lineRule="auto"/>
        <w:ind w:left="284"/>
        <w:rPr>
          <w:rStyle w:val="lev"/>
          <w:rFonts w:ascii="Georgia" w:hAnsi="Georgia" w:cs="Arial"/>
          <w:color w:val="000000"/>
          <w:sz w:val="26"/>
          <w:szCs w:val="26"/>
        </w:rPr>
      </w:pPr>
    </w:p>
    <w:p w:rsidR="009E0F69" w:rsidRPr="0098055B" w:rsidRDefault="009E0F69" w:rsidP="0098055B">
      <w:pPr>
        <w:spacing w:after="0" w:line="360" w:lineRule="auto"/>
        <w:ind w:left="284"/>
        <w:rPr>
          <w:rStyle w:val="lev"/>
          <w:rFonts w:ascii="Georgia" w:hAnsi="Georgia" w:cs="Arial"/>
          <w:color w:val="000000"/>
          <w:sz w:val="26"/>
          <w:szCs w:val="26"/>
        </w:rPr>
      </w:pPr>
    </w:p>
    <w:p w:rsidR="00017A6F" w:rsidRDefault="00017A6F" w:rsidP="001D65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</w:p>
    <w:p w:rsidR="00954F52" w:rsidRPr="00017A6F" w:rsidRDefault="00954F52" w:rsidP="001D65C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fr-FR"/>
        </w:rPr>
      </w:pPr>
    </w:p>
    <w:p w:rsidR="00017A6F" w:rsidRDefault="00017A6F" w:rsidP="001D65C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</w:p>
    <w:p w:rsidR="001D65C0" w:rsidRDefault="001D65C0" w:rsidP="00954F52">
      <w:pPr>
        <w:shd w:val="clear" w:color="auto" w:fill="FFC000"/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fr-FR"/>
        </w:rPr>
      </w:pPr>
      <w:r w:rsidRPr="001B3930">
        <w:rPr>
          <w:rFonts w:ascii="Georgia" w:eastAsia="Times New Roman" w:hAnsi="Georgia" w:cs="Arial"/>
          <w:sz w:val="28"/>
          <w:szCs w:val="28"/>
          <w:lang w:eastAsia="fr-FR"/>
        </w:rPr>
        <w:lastRenderedPageBreak/>
        <w:t>FICHE TECHNIQUE</w:t>
      </w:r>
    </w:p>
    <w:p w:rsidR="009E0F69" w:rsidRDefault="009E0F69" w:rsidP="00954F52">
      <w:pPr>
        <w:pStyle w:val="Paragraphedeliste"/>
        <w:spacing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9E0F69">
        <w:rPr>
          <w:rFonts w:ascii="Comic Sans MS" w:hAnsi="Comic Sans MS" w:cs="Arial"/>
          <w:b/>
          <w:sz w:val="28"/>
          <w:szCs w:val="28"/>
        </w:rPr>
        <w:t>Management des ressources humaines</w:t>
      </w:r>
    </w:p>
    <w:p w:rsidR="0026210F" w:rsidRPr="0026210F" w:rsidRDefault="0026210F" w:rsidP="0026210F">
      <w:pPr>
        <w:pStyle w:val="Paragraphedeliste"/>
        <w:jc w:val="center"/>
        <w:rPr>
          <w:rFonts w:ascii="Georgia" w:eastAsia="Times New Roman" w:hAnsi="Georgia" w:cs="Arial"/>
          <w:sz w:val="24"/>
          <w:szCs w:val="24"/>
          <w:lang w:eastAsia="fr-FR"/>
        </w:rPr>
      </w:pPr>
      <w:r w:rsidRPr="0026210F">
        <w:rPr>
          <w:rFonts w:ascii="Comic Sans MS" w:hAnsi="Comic Sans MS" w:cs="Arial"/>
          <w:b/>
          <w:sz w:val="24"/>
          <w:szCs w:val="24"/>
        </w:rPr>
        <w:t>Le 02 et 03 Décembre2015</w:t>
      </w:r>
    </w:p>
    <w:tbl>
      <w:tblPr>
        <w:tblStyle w:val="Grilledutableau"/>
        <w:tblpPr w:leftFromText="141" w:rightFromText="141" w:vertAnchor="page" w:horzAnchor="margin" w:tblpY="1938"/>
        <w:tblW w:w="10031" w:type="dxa"/>
        <w:tblLook w:val="04A0"/>
      </w:tblPr>
      <w:tblGrid>
        <w:gridCol w:w="1384"/>
        <w:gridCol w:w="8647"/>
      </w:tblGrid>
      <w:tr w:rsidR="0026210F" w:rsidTr="0026210F">
        <w:tc>
          <w:tcPr>
            <w:tcW w:w="1384" w:type="dxa"/>
          </w:tcPr>
          <w:p w:rsidR="0026210F" w:rsidRPr="001D65C0" w:rsidRDefault="0026210F" w:rsidP="0026210F">
            <w:pPr>
              <w:jc w:val="center"/>
              <w:rPr>
                <w:b/>
                <w:bCs/>
              </w:rPr>
            </w:pPr>
            <w:r w:rsidRPr="001D65C0">
              <w:rPr>
                <w:b/>
                <w:bCs/>
              </w:rPr>
              <w:t>Journées</w:t>
            </w:r>
          </w:p>
          <w:p w:rsidR="0026210F" w:rsidRDefault="0026210F" w:rsidP="0026210F"/>
        </w:tc>
        <w:tc>
          <w:tcPr>
            <w:tcW w:w="8647" w:type="dxa"/>
          </w:tcPr>
          <w:p w:rsidR="0026210F" w:rsidRPr="00A010D1" w:rsidRDefault="0026210F" w:rsidP="0026210F">
            <w:pPr>
              <w:jc w:val="center"/>
              <w:rPr>
                <w:b/>
                <w:bCs/>
                <w:sz w:val="26"/>
                <w:szCs w:val="26"/>
              </w:rPr>
            </w:pPr>
            <w:r w:rsidRPr="00A010D1">
              <w:rPr>
                <w:b/>
                <w:bCs/>
                <w:sz w:val="26"/>
                <w:szCs w:val="26"/>
              </w:rPr>
              <w:t>Contenus/ Concepts clés à aborder</w:t>
            </w:r>
          </w:p>
        </w:tc>
      </w:tr>
      <w:tr w:rsidR="0026210F" w:rsidRPr="00F17AB4" w:rsidTr="0026210F">
        <w:tblPrEx>
          <w:tblCellMar>
            <w:left w:w="70" w:type="dxa"/>
            <w:right w:w="70" w:type="dxa"/>
          </w:tblCellMar>
          <w:tblLook w:val="0000"/>
        </w:tblPrEx>
        <w:trPr>
          <w:trHeight w:val="805"/>
        </w:trPr>
        <w:tc>
          <w:tcPr>
            <w:tcW w:w="1384" w:type="dxa"/>
          </w:tcPr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Default="0026210F" w:rsidP="0026210F">
            <w:pPr>
              <w:jc w:val="center"/>
              <w:rPr>
                <w:b/>
                <w:bCs/>
              </w:rPr>
            </w:pPr>
          </w:p>
          <w:p w:rsidR="0026210F" w:rsidRPr="00A010D1" w:rsidRDefault="0026210F" w:rsidP="0026210F">
            <w:pPr>
              <w:jc w:val="center"/>
              <w:rPr>
                <w:b/>
                <w:bCs/>
              </w:rPr>
            </w:pPr>
            <w:r w:rsidRPr="00A010D1">
              <w:rPr>
                <w:b/>
                <w:bCs/>
              </w:rPr>
              <w:t>1</w:t>
            </w:r>
            <w:r w:rsidRPr="00A010D1">
              <w:rPr>
                <w:b/>
                <w:bCs/>
                <w:vertAlign w:val="superscript"/>
              </w:rPr>
              <w:t xml:space="preserve">ére </w:t>
            </w:r>
            <w:r w:rsidRPr="00A010D1">
              <w:rPr>
                <w:b/>
                <w:bCs/>
              </w:rPr>
              <w:t>Journée</w:t>
            </w: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jc w:val="center"/>
              <w:rPr>
                <w:b/>
                <w:bCs/>
              </w:rPr>
            </w:pPr>
            <w:r w:rsidRPr="00A010D1">
              <w:rPr>
                <w:b/>
                <w:bCs/>
              </w:rPr>
              <w:t>2</w:t>
            </w:r>
            <w:r w:rsidRPr="00A010D1">
              <w:rPr>
                <w:b/>
                <w:bCs/>
                <w:vertAlign w:val="superscript"/>
              </w:rPr>
              <w:t>éme</w:t>
            </w:r>
            <w:r w:rsidRPr="00A010D1">
              <w:rPr>
                <w:b/>
                <w:bCs/>
              </w:rPr>
              <w:t xml:space="preserve"> Journée</w:t>
            </w: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  <w:p w:rsidR="0026210F" w:rsidRPr="00A010D1" w:rsidRDefault="0026210F" w:rsidP="0026210F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26210F" w:rsidRDefault="0026210F" w:rsidP="0026210F">
            <w:pPr>
              <w:pStyle w:val="Paragraphedeliste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26210F" w:rsidRPr="00F17AB4" w:rsidRDefault="0026210F" w:rsidP="0026210F">
            <w:pPr>
              <w:pStyle w:val="Paragraphedeliste"/>
              <w:numPr>
                <w:ilvl w:val="0"/>
                <w:numId w:val="17"/>
              </w:numPr>
              <w:shd w:val="clear" w:color="auto" w:fill="DBE5F1" w:themeFill="accent1" w:themeFillTint="33"/>
              <w:jc w:val="center"/>
              <w:rPr>
                <w:rFonts w:ascii="Georgia" w:hAnsi="Georgia"/>
                <w:bCs/>
                <w:color w:val="000000" w:themeColor="text1"/>
                <w:sz w:val="26"/>
                <w:szCs w:val="26"/>
              </w:rPr>
            </w:pPr>
            <w:r w:rsidRPr="00F17AB4">
              <w:rPr>
                <w:rFonts w:ascii="Georgia" w:hAnsi="Georgia" w:cs="Arial"/>
                <w:bCs/>
                <w:color w:val="000000" w:themeColor="text1"/>
                <w:sz w:val="26"/>
                <w:szCs w:val="26"/>
              </w:rPr>
              <w:t>Nouveau contexte, nouvelles exigences pour l’organisation et nouveaux défis pour le management des ressources humaines.</w:t>
            </w:r>
          </w:p>
          <w:p w:rsidR="0026210F" w:rsidRDefault="0026210F" w:rsidP="0026210F">
            <w:pPr>
              <w:tabs>
                <w:tab w:val="left" w:pos="2410"/>
                <w:tab w:val="left" w:pos="2977"/>
              </w:tabs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</w:p>
          <w:p w:rsidR="0026210F" w:rsidRPr="00954F52" w:rsidRDefault="0026210F" w:rsidP="0026210F">
            <w:pPr>
              <w:tabs>
                <w:tab w:val="left" w:pos="2410"/>
                <w:tab w:val="left" w:pos="2977"/>
              </w:tabs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>I.1.</w:t>
            </w: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Emergence d’un nouveau contexte social. </w:t>
            </w:r>
          </w:p>
          <w:p w:rsidR="0026210F" w:rsidRPr="00954F52" w:rsidRDefault="0026210F" w:rsidP="0026210F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I.2 Nouvelles attentes de l’employeur, des employés et des autres acteurs.</w:t>
            </w:r>
          </w:p>
          <w:p w:rsidR="0026210F" w:rsidRDefault="0026210F" w:rsidP="0026210F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I.3 Nouvelles logiques de réponse du management des ressources humaines.</w:t>
            </w:r>
          </w:p>
          <w:p w:rsidR="0026210F" w:rsidRPr="00954F52" w:rsidRDefault="0026210F" w:rsidP="0026210F">
            <w:pPr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</w:p>
          <w:p w:rsidR="0026210F" w:rsidRPr="00F17AB4" w:rsidRDefault="0026210F" w:rsidP="0026210F">
            <w:pPr>
              <w:pStyle w:val="Paragraphedeliste"/>
              <w:numPr>
                <w:ilvl w:val="0"/>
                <w:numId w:val="17"/>
              </w:numPr>
              <w:shd w:val="clear" w:color="auto" w:fill="DBE5F1" w:themeFill="accent1" w:themeFillTint="33"/>
              <w:jc w:val="center"/>
              <w:rPr>
                <w:rFonts w:ascii="Georgia" w:hAnsi="Georgia" w:cs="Arial"/>
                <w:bCs/>
                <w:color w:val="000000" w:themeColor="text1"/>
                <w:sz w:val="26"/>
                <w:szCs w:val="26"/>
              </w:rPr>
            </w:pPr>
            <w:r w:rsidRPr="00F17AB4">
              <w:rPr>
                <w:rFonts w:ascii="Georgia" w:hAnsi="Georgia" w:cs="Arial"/>
                <w:bCs/>
                <w:color w:val="000000" w:themeColor="text1"/>
                <w:sz w:val="26"/>
                <w:szCs w:val="26"/>
              </w:rPr>
              <w:t>La règlementation dans la gestion des ressources humaines :</w:t>
            </w:r>
          </w:p>
          <w:p w:rsidR="0026210F" w:rsidRPr="00954F52" w:rsidRDefault="0026210F" w:rsidP="0026210F">
            <w:pPr>
              <w:pStyle w:val="Paragraphedeliste"/>
              <w:tabs>
                <w:tab w:val="left" w:pos="3686"/>
              </w:tabs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II.1 </w:t>
            </w:r>
            <w:bookmarkStart w:id="0" w:name="_GoBack"/>
            <w:bookmarkEnd w:id="0"/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Droit du travail : Evolution, contenu, sources, caractéristiques...</w:t>
            </w:r>
          </w:p>
          <w:p w:rsidR="0026210F" w:rsidRDefault="0026210F" w:rsidP="0026210F">
            <w:pPr>
              <w:pStyle w:val="Paragraphedeliste"/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II.2 Contrat du travail : Définition, droits et obligations</w:t>
            </w: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</w:t>
            </w: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des parties, </w:t>
            </w: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6210F" w:rsidRPr="00954F52" w:rsidRDefault="0026210F" w:rsidP="0026210F">
            <w:pPr>
              <w:pStyle w:val="Paragraphedeliste"/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       </w:t>
            </w: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différentes formes de contrat…</w:t>
            </w:r>
          </w:p>
          <w:p w:rsidR="0026210F" w:rsidRPr="00954F52" w:rsidRDefault="0026210F" w:rsidP="0026210F">
            <w:pPr>
              <w:pStyle w:val="Paragraphedeliste"/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II.3 Règlement intérieur.</w:t>
            </w:r>
          </w:p>
          <w:p w:rsidR="0026210F" w:rsidRDefault="0026210F" w:rsidP="0026210F">
            <w:pPr>
              <w:pStyle w:val="Paragraphedeliste"/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II.4 Gestion des conflits sociaux.</w:t>
            </w:r>
          </w:p>
          <w:p w:rsidR="0026210F" w:rsidRDefault="0026210F" w:rsidP="0026210F">
            <w:pPr>
              <w:pStyle w:val="Paragraphedeliste"/>
              <w:spacing w:line="276" w:lineRule="auto"/>
              <w:ind w:left="214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</w:p>
          <w:p w:rsidR="0026210F" w:rsidRPr="00F17AB4" w:rsidRDefault="0026210F" w:rsidP="0026210F">
            <w:pPr>
              <w:pStyle w:val="Paragraphedeliste"/>
              <w:numPr>
                <w:ilvl w:val="0"/>
                <w:numId w:val="17"/>
              </w:numPr>
              <w:shd w:val="clear" w:color="auto" w:fill="DBE5F1" w:themeFill="accent1" w:themeFillTint="33"/>
              <w:spacing w:line="276" w:lineRule="auto"/>
              <w:jc w:val="center"/>
              <w:rPr>
                <w:rFonts w:ascii="Georgia" w:hAnsi="Georgia" w:cs="Arial"/>
                <w:color w:val="000000" w:themeColor="text1"/>
                <w:sz w:val="26"/>
                <w:szCs w:val="26"/>
              </w:rPr>
            </w:pPr>
            <w:r w:rsidRPr="00F17AB4">
              <w:rPr>
                <w:rFonts w:ascii="Georgia" w:hAnsi="Georgia" w:cs="Arial"/>
                <w:b/>
                <w:color w:val="000000" w:themeColor="text1"/>
                <w:sz w:val="26"/>
                <w:szCs w:val="26"/>
              </w:rPr>
              <w:t>La gestion prévisionnelle des compétences &lt;GPEC&gt;</w:t>
            </w:r>
          </w:p>
          <w:p w:rsidR="0026210F" w:rsidRPr="00954F52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>III.1.  La GPEC : Concepts de base et démarche   méthodologique.</w:t>
            </w:r>
          </w:p>
          <w:p w:rsidR="0026210F" w:rsidRPr="00954F52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>III.2. Outils d’analyse et de classification des postes de travail.</w:t>
            </w:r>
          </w:p>
          <w:p w:rsidR="0026210F" w:rsidRPr="00954F52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>III.3. Ecarts entre situation actuelle et situation future souhaitée.</w:t>
            </w:r>
          </w:p>
          <w:p w:rsidR="0026210F" w:rsidRPr="00954F52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 xml:space="preserve">III.4. Actions d’ajustement nécessaire : recrutement,  mobilité, plans de  </w:t>
            </w:r>
          </w:p>
          <w:p w:rsidR="0026210F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 xml:space="preserve">          relève, formation…</w:t>
            </w:r>
          </w:p>
          <w:p w:rsidR="0026210F" w:rsidRDefault="0026210F" w:rsidP="0026210F">
            <w:pPr>
              <w:pStyle w:val="Paragraphedeliste"/>
              <w:tabs>
                <w:tab w:val="left" w:pos="2410"/>
              </w:tabs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</w:p>
          <w:p w:rsidR="0026210F" w:rsidRPr="00F17AB4" w:rsidRDefault="0026210F" w:rsidP="0026210F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="Georgia" w:hAnsi="Georgia" w:cs="Arial"/>
                <w:bCs/>
                <w:color w:val="000000" w:themeColor="text1"/>
                <w:sz w:val="26"/>
                <w:szCs w:val="26"/>
              </w:rPr>
            </w:pPr>
            <w:r w:rsidRPr="00F17AB4">
              <w:rPr>
                <w:rFonts w:ascii="Georgia" w:hAnsi="Georgia" w:cs="Arial"/>
                <w:bCs/>
                <w:color w:val="000000" w:themeColor="text1"/>
                <w:sz w:val="26"/>
                <w:szCs w:val="26"/>
                <w:shd w:val="clear" w:color="auto" w:fill="DBE5F1" w:themeFill="accent1" w:themeFillTint="33"/>
              </w:rPr>
              <w:t>La gestion des carrières et l’évaluation des performances </w:t>
            </w:r>
            <w:r w:rsidRPr="00F17AB4">
              <w:rPr>
                <w:rFonts w:ascii="Georgia" w:hAnsi="Georgia" w:cs="Arial"/>
                <w:bCs/>
                <w:color w:val="000000" w:themeColor="text1"/>
                <w:sz w:val="26"/>
                <w:szCs w:val="26"/>
              </w:rPr>
              <w:t>:</w:t>
            </w:r>
          </w:p>
          <w:p w:rsidR="0026210F" w:rsidRPr="00954F52" w:rsidRDefault="0026210F" w:rsidP="0026210F">
            <w:pPr>
              <w:tabs>
                <w:tab w:val="left" w:pos="2410"/>
              </w:tabs>
              <w:spacing w:line="276" w:lineRule="auto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2060"/>
                <w:sz w:val="24"/>
                <w:szCs w:val="24"/>
              </w:rPr>
              <w:t xml:space="preserve">IV.1  </w:t>
            </w: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Notion de carrière : définition, enjeux…</w:t>
            </w:r>
          </w:p>
          <w:p w:rsidR="0026210F" w:rsidRPr="00954F52" w:rsidRDefault="0026210F" w:rsidP="0026210F">
            <w:pPr>
              <w:tabs>
                <w:tab w:val="left" w:pos="2410"/>
              </w:tabs>
              <w:spacing w:line="276" w:lineRule="auto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IV.2 Outils de la gestion des carrières.</w:t>
            </w:r>
          </w:p>
          <w:p w:rsidR="0026210F" w:rsidRPr="00954F52" w:rsidRDefault="0026210F" w:rsidP="0026210F">
            <w:pPr>
              <w:tabs>
                <w:tab w:val="left" w:pos="2410"/>
              </w:tabs>
              <w:spacing w:line="276" w:lineRule="auto"/>
              <w:jc w:val="both"/>
              <w:rPr>
                <w:rFonts w:ascii="Georgia" w:hAnsi="Georgia" w:cs="Arial"/>
                <w:color w:val="000000" w:themeColor="text1"/>
                <w:sz w:val="24"/>
                <w:szCs w:val="24"/>
              </w:rPr>
            </w:pPr>
            <w:r w:rsidRPr="00954F52">
              <w:rPr>
                <w:rFonts w:ascii="Georgia" w:hAnsi="Georgia" w:cs="Arial"/>
                <w:color w:val="000000" w:themeColor="text1"/>
                <w:sz w:val="24"/>
                <w:szCs w:val="24"/>
              </w:rPr>
              <w:t>IV.3.L’évaluation : définition, objectifs et finalités.</w:t>
            </w:r>
          </w:p>
          <w:p w:rsidR="0026210F" w:rsidRPr="00F17AB4" w:rsidRDefault="0026210F" w:rsidP="0026210F">
            <w:pPr>
              <w:pStyle w:val="Sansinterligne"/>
              <w:spacing w:line="276" w:lineRule="auto"/>
              <w:rPr>
                <w:rFonts w:ascii="Georgia" w:hAnsi="Georgia"/>
              </w:rPr>
            </w:pPr>
            <w:r w:rsidRPr="00954F52">
              <w:t>IV.4.</w:t>
            </w:r>
            <w:r w:rsidRPr="00F17AB4">
              <w:rPr>
                <w:rFonts w:ascii="Georgia" w:hAnsi="Georgia"/>
              </w:rPr>
              <w:t>L’appréciation des performances : objet, acteurs,  l’entretien d’appréciation…</w:t>
            </w:r>
          </w:p>
          <w:p w:rsidR="0026210F" w:rsidRPr="00F17AB4" w:rsidRDefault="0026210F" w:rsidP="0026210F">
            <w:pPr>
              <w:pStyle w:val="Sansinterligne"/>
              <w:rPr>
                <w:rFonts w:ascii="Georgia" w:hAnsi="Georgia"/>
              </w:rPr>
            </w:pPr>
          </w:p>
          <w:p w:rsidR="0026210F" w:rsidRPr="00F17AB4" w:rsidRDefault="0026210F" w:rsidP="0026210F">
            <w:pPr>
              <w:pStyle w:val="Paragraphedeliste"/>
              <w:numPr>
                <w:ilvl w:val="0"/>
                <w:numId w:val="17"/>
              </w:numPr>
              <w:shd w:val="clear" w:color="auto" w:fill="DBE5F1" w:themeFill="accent1" w:themeFillTint="33"/>
              <w:jc w:val="center"/>
              <w:rPr>
                <w:rFonts w:ascii="Georgia" w:hAnsi="Georgia" w:cs="Arial"/>
                <w:bCs/>
                <w:sz w:val="28"/>
                <w:szCs w:val="28"/>
              </w:rPr>
            </w:pPr>
            <w:r w:rsidRPr="00F17AB4">
              <w:rPr>
                <w:rFonts w:ascii="Georgia" w:hAnsi="Georgia" w:cs="Arial"/>
                <w:bCs/>
                <w:sz w:val="26"/>
                <w:szCs w:val="26"/>
              </w:rPr>
              <w:t>La gestion de la formation</w:t>
            </w:r>
            <w:r w:rsidRPr="00F17AB4">
              <w:rPr>
                <w:rFonts w:ascii="Georgia" w:hAnsi="Georgia" w:cs="Arial"/>
                <w:bCs/>
                <w:sz w:val="28"/>
                <w:szCs w:val="28"/>
              </w:rPr>
              <w:t> :</w:t>
            </w: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V.1 La formation : définition, objectifs que l’on peut assigner à cette fonction stratégique.</w:t>
            </w: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V.2 Plan de formation : processus d’élaboration, identification des besoins, planification, conception et suivi de la formation.</w:t>
            </w: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  <w:lang w:val="en-US"/>
              </w:rPr>
            </w:pPr>
            <w:r w:rsidRPr="00F17AB4">
              <w:rPr>
                <w:rFonts w:ascii="Georgia" w:hAnsi="Georgia" w:cs="Arial"/>
                <w:sz w:val="24"/>
                <w:szCs w:val="24"/>
                <w:lang w:val="en-US"/>
              </w:rPr>
              <w:t>V.3 Coaching.</w:t>
            </w:r>
          </w:p>
          <w:p w:rsidR="0026210F" w:rsidRPr="00F17AB4" w:rsidRDefault="0026210F" w:rsidP="0026210F">
            <w:pPr>
              <w:tabs>
                <w:tab w:val="left" w:pos="2410"/>
              </w:tabs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V.4 E-Learning.</w:t>
            </w:r>
          </w:p>
          <w:p w:rsidR="0026210F" w:rsidRPr="00F17AB4" w:rsidRDefault="0026210F" w:rsidP="0026210F">
            <w:pPr>
              <w:ind w:left="720"/>
              <w:jc w:val="center"/>
              <w:rPr>
                <w:rFonts w:ascii="Georgia" w:hAnsi="Georgia" w:cs="Arial"/>
                <w:b/>
                <w:sz w:val="26"/>
                <w:szCs w:val="26"/>
              </w:rPr>
            </w:pPr>
            <w:r w:rsidRPr="00F17AB4">
              <w:rPr>
                <w:rFonts w:ascii="Georgia" w:hAnsi="Georgia" w:cs="Arial"/>
                <w:b/>
                <w:sz w:val="26"/>
                <w:szCs w:val="26"/>
                <w:shd w:val="clear" w:color="auto" w:fill="DBE5F1" w:themeFill="accent1" w:themeFillTint="33"/>
              </w:rPr>
              <w:t>VI. La gestion de la rémunération :</w:t>
            </w:r>
          </w:p>
          <w:p w:rsidR="0026210F" w:rsidRPr="00F17AB4" w:rsidRDefault="0026210F" w:rsidP="0026210F">
            <w:pPr>
              <w:pStyle w:val="Paragraphedeliste"/>
              <w:ind w:left="1440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VI.1.Enjeux et principes fondamentaux de la politique de rémunération.</w:t>
            </w: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VI.2. Composantes de la rémunération.</w:t>
            </w:r>
          </w:p>
          <w:p w:rsidR="0026210F" w:rsidRPr="00F17AB4" w:rsidRDefault="0026210F" w:rsidP="0026210F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F17AB4">
              <w:rPr>
                <w:rFonts w:ascii="Georgia" w:hAnsi="Georgia" w:cs="Arial"/>
                <w:sz w:val="24"/>
                <w:szCs w:val="24"/>
              </w:rPr>
              <w:t>VI.3 Gestion de la paie : composantes du salaire, obligations de l’employeur &lt;salaires, cotisations sociales et parafiscales&gt;</w:t>
            </w:r>
          </w:p>
          <w:p w:rsidR="0026210F" w:rsidRPr="00F17AB4" w:rsidRDefault="0026210F" w:rsidP="0026210F">
            <w:pPr>
              <w:pStyle w:val="Paragraphedeliste"/>
              <w:spacing w:line="276" w:lineRule="auto"/>
              <w:ind w:left="214"/>
              <w:rPr>
                <w:rFonts w:ascii="Georgia" w:hAnsi="Georgia" w:cs="Arial"/>
                <w:color w:val="002060"/>
                <w:sz w:val="24"/>
                <w:szCs w:val="24"/>
              </w:rPr>
            </w:pPr>
          </w:p>
          <w:p w:rsidR="0026210F" w:rsidRPr="00F17AB4" w:rsidRDefault="0026210F" w:rsidP="0026210F">
            <w:pPr>
              <w:pStyle w:val="Paragraphedeliste"/>
            </w:pPr>
          </w:p>
        </w:tc>
      </w:tr>
    </w:tbl>
    <w:p w:rsidR="00C86259" w:rsidRPr="00487AFB" w:rsidRDefault="00C86259" w:rsidP="00C86259">
      <w:pPr>
        <w:jc w:val="both"/>
        <w:rPr>
          <w:rFonts w:ascii="Arial" w:hAnsi="Arial" w:cs="Arial"/>
          <w:b/>
          <w:i/>
          <w:color w:val="002060"/>
          <w:szCs w:val="28"/>
          <w:u w:val="single"/>
        </w:rPr>
      </w:pPr>
      <w:r w:rsidRPr="00487AFB">
        <w:rPr>
          <w:rFonts w:ascii="Arial" w:hAnsi="Arial" w:cs="Arial"/>
          <w:i/>
          <w:color w:val="002060"/>
          <w:szCs w:val="28"/>
          <w:u w:val="single"/>
        </w:rPr>
        <w:lastRenderedPageBreak/>
        <w:t xml:space="preserve">Comment et </w:t>
      </w:r>
      <w:r>
        <w:rPr>
          <w:rFonts w:ascii="Arial" w:hAnsi="Arial" w:cs="Arial"/>
          <w:i/>
          <w:color w:val="002060"/>
          <w:szCs w:val="28"/>
          <w:u w:val="single"/>
        </w:rPr>
        <w:t>où s’inscrire pour participer au s</w:t>
      </w:r>
      <w:r w:rsidRPr="00487AFB">
        <w:rPr>
          <w:rFonts w:ascii="Arial" w:hAnsi="Arial" w:cs="Arial"/>
          <w:i/>
          <w:color w:val="002060"/>
          <w:szCs w:val="28"/>
          <w:u w:val="single"/>
        </w:rPr>
        <w:t>éminaire ?</w:t>
      </w:r>
    </w:p>
    <w:p w:rsidR="00C86259" w:rsidRDefault="00C86259" w:rsidP="00C86259">
      <w:pPr>
        <w:rPr>
          <w:rFonts w:ascii="Arial" w:hAnsi="Arial" w:cs="Arial"/>
          <w:i/>
        </w:rPr>
      </w:pPr>
      <w:r w:rsidRPr="00487AFB">
        <w:rPr>
          <w:rFonts w:ascii="Arial" w:hAnsi="Arial" w:cs="Arial"/>
          <w:i/>
        </w:rPr>
        <w:t>Par simple</w:t>
      </w:r>
      <w:r>
        <w:rPr>
          <w:rFonts w:ascii="Arial" w:hAnsi="Arial" w:cs="Arial"/>
          <w:i/>
        </w:rPr>
        <w:t xml:space="preserve"> retour </w:t>
      </w:r>
      <w:r w:rsidRPr="00487AFB">
        <w:rPr>
          <w:rFonts w:ascii="Arial" w:hAnsi="Arial" w:cs="Arial"/>
          <w:i/>
        </w:rPr>
        <w:t xml:space="preserve"> fax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de cette page avec signature et visas</w:t>
      </w:r>
      <w:r>
        <w:rPr>
          <w:rFonts w:ascii="Arial" w:hAnsi="Arial" w:cs="Arial"/>
          <w:i/>
        </w:rPr>
        <w:t xml:space="preserve"> </w:t>
      </w:r>
      <w:r w:rsidRPr="00102642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 : </w:t>
      </w:r>
    </w:p>
    <w:p w:rsidR="00C86259" w:rsidRDefault="00C86259" w:rsidP="00C86259">
      <w:pPr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ou par email : ccimdz@gmail.com</w:t>
      </w:r>
    </w:p>
    <w:p w:rsidR="00C86259" w:rsidRDefault="00C86259" w:rsidP="00F17AB4">
      <w:pPr>
        <w:rPr>
          <w:rFonts w:ascii="Arial" w:hAnsi="Arial" w:cs="Arial"/>
          <w:b/>
          <w:i/>
          <w:sz w:val="32"/>
          <w:szCs w:val="32"/>
        </w:rPr>
      </w:pPr>
      <w:r w:rsidRPr="003A74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  </w:t>
      </w:r>
      <w:r w:rsidRPr="00547594">
        <w:rPr>
          <w:rFonts w:ascii="Arial" w:hAnsi="Arial" w:cs="Arial"/>
          <w:i/>
          <w:sz w:val="32"/>
          <w:szCs w:val="32"/>
        </w:rPr>
        <w:t>Le sé</w:t>
      </w:r>
      <w:r>
        <w:rPr>
          <w:rFonts w:ascii="Arial" w:hAnsi="Arial" w:cs="Arial"/>
          <w:i/>
          <w:sz w:val="32"/>
          <w:szCs w:val="32"/>
        </w:rPr>
        <w:t xml:space="preserve">minaire se déroulera à la chambre de commerce et d’industrie Medjerda souk Ahras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Le </w:t>
      </w:r>
      <w:r w:rsidR="00F17AB4">
        <w:rPr>
          <w:rFonts w:ascii="Arial" w:hAnsi="Arial" w:cs="Arial"/>
          <w:i/>
          <w:sz w:val="32"/>
          <w:szCs w:val="32"/>
          <w:u w:val="single"/>
        </w:rPr>
        <w:t>0</w:t>
      </w:r>
      <w:r>
        <w:rPr>
          <w:rFonts w:ascii="Arial" w:hAnsi="Arial" w:cs="Arial"/>
          <w:i/>
          <w:sz w:val="32"/>
          <w:szCs w:val="32"/>
          <w:u w:val="single"/>
        </w:rPr>
        <w:t xml:space="preserve">2 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ET </w:t>
      </w:r>
      <w:r w:rsidR="00F17AB4">
        <w:rPr>
          <w:rFonts w:ascii="Arial" w:hAnsi="Arial" w:cs="Arial"/>
          <w:i/>
          <w:sz w:val="32"/>
          <w:szCs w:val="32"/>
          <w:u w:val="single"/>
        </w:rPr>
        <w:t>03</w:t>
      </w:r>
      <w:r w:rsidRPr="00DA2AF7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="00F17AB4">
        <w:rPr>
          <w:rFonts w:ascii="Arial" w:hAnsi="Arial" w:cs="Arial"/>
          <w:i/>
          <w:sz w:val="32"/>
          <w:szCs w:val="32"/>
          <w:u w:val="single"/>
        </w:rPr>
        <w:t>Décembre</w:t>
      </w:r>
      <w:r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DA2AF7">
        <w:rPr>
          <w:rFonts w:ascii="Arial" w:hAnsi="Arial" w:cs="Arial"/>
          <w:i/>
          <w:sz w:val="32"/>
          <w:szCs w:val="32"/>
          <w:u w:val="single"/>
        </w:rPr>
        <w:t>2015</w:t>
      </w:r>
    </w:p>
    <w:p w:rsidR="00C86259" w:rsidRPr="00F04B89" w:rsidRDefault="00C86259" w:rsidP="00C86259">
      <w:pPr>
        <w:rPr>
          <w:rFonts w:ascii="Arial" w:hAnsi="Arial" w:cs="Arial"/>
          <w:b/>
          <w:bCs/>
          <w:i/>
          <w:u w:val="single"/>
        </w:rPr>
      </w:pPr>
      <w:r w:rsidRPr="00F04B89">
        <w:rPr>
          <w:rFonts w:ascii="Arial" w:hAnsi="Arial" w:cs="Arial"/>
          <w:i/>
          <w:u w:val="single"/>
        </w:rPr>
        <w:t>Contact: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M</w:t>
      </w:r>
      <w:r w:rsidRPr="00E60F0F">
        <w:rPr>
          <w:rFonts w:ascii="Arial" w:hAnsi="Arial" w:cs="Arial"/>
          <w:i/>
          <w:vertAlign w:val="superscript"/>
        </w:rPr>
        <w:t>r</w:t>
      </w:r>
      <w:r>
        <w:rPr>
          <w:rFonts w:ascii="Arial" w:hAnsi="Arial" w:cs="Arial"/>
          <w:i/>
        </w:rPr>
        <w:t xml:space="preserve"> GHLIS Yacine Directeur de la CCI Souk Ahras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Tél : 037 732626 -  Fax : 037 73 25 </w:t>
      </w:r>
      <w:proofErr w:type="spellStart"/>
      <w:r>
        <w:rPr>
          <w:rFonts w:ascii="Arial" w:hAnsi="Arial" w:cs="Arial"/>
          <w:i/>
        </w:rPr>
        <w:t>25</w:t>
      </w:r>
      <w:proofErr w:type="spellEnd"/>
      <w:r>
        <w:rPr>
          <w:rFonts w:ascii="Arial" w:hAnsi="Arial" w:cs="Arial"/>
          <w:i/>
        </w:rPr>
        <w:t xml:space="preserve">       </w:t>
      </w:r>
      <w:proofErr w:type="spellStart"/>
      <w:r>
        <w:rPr>
          <w:rFonts w:ascii="Arial" w:hAnsi="Arial" w:cs="Arial"/>
          <w:i/>
        </w:rPr>
        <w:t>Cell</w:t>
      </w:r>
      <w:proofErr w:type="spellEnd"/>
      <w:r>
        <w:rPr>
          <w:rFonts w:ascii="Arial" w:hAnsi="Arial" w:cs="Arial"/>
          <w:i/>
        </w:rPr>
        <w:t> : 06 61 39 67 05</w:t>
      </w:r>
    </w:p>
    <w:p w:rsidR="00C86259" w:rsidRPr="00EC2031" w:rsidRDefault="00C86259" w:rsidP="00C86259">
      <w:pPr>
        <w:rPr>
          <w:rFonts w:ascii="Arial" w:hAnsi="Arial" w:cs="Arial"/>
          <w:b/>
          <w:bCs/>
          <w:i/>
        </w:rPr>
      </w:pPr>
      <w:r w:rsidRPr="00EC2031">
        <w:rPr>
          <w:rFonts w:ascii="Arial" w:hAnsi="Arial" w:cs="Arial"/>
          <w:i/>
        </w:rPr>
        <w:t xml:space="preserve">e- mail : </w:t>
      </w:r>
      <w:r w:rsidRPr="00EC2031">
        <w:t>ccimdz@gmail.com</w:t>
      </w:r>
    </w:p>
    <w:p w:rsidR="00C86259" w:rsidRDefault="00C86259" w:rsidP="00C86259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 xml:space="preserve">Frais de participation : </w:t>
      </w:r>
      <w:r>
        <w:rPr>
          <w:rFonts w:ascii="Arial" w:hAnsi="Arial" w:cs="Arial"/>
          <w:i/>
          <w:szCs w:val="28"/>
        </w:rPr>
        <w:t>25000</w:t>
      </w:r>
      <w:r w:rsidRPr="00125295">
        <w:rPr>
          <w:rFonts w:ascii="Arial" w:hAnsi="Arial" w:cs="Arial"/>
          <w:i/>
          <w:szCs w:val="28"/>
        </w:rPr>
        <w:t>.00</w:t>
      </w:r>
      <w:r>
        <w:rPr>
          <w:rFonts w:ascii="Arial" w:hAnsi="Arial" w:cs="Arial"/>
          <w:i/>
        </w:rPr>
        <w:t xml:space="preserve"> DA en HT  par personne</w:t>
      </w:r>
      <w:r w:rsidR="001B3930">
        <w:rPr>
          <w:rFonts w:ascii="Arial" w:hAnsi="Arial" w:cs="Arial"/>
          <w:i/>
        </w:rPr>
        <w:t> : TVA 07%</w:t>
      </w:r>
    </w:p>
    <w:p w:rsidR="00C86259" w:rsidRDefault="00C86259" w:rsidP="00C8625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Ses frais englobent ; les pauses cafés-déjeuners-la documentation.  </w:t>
      </w:r>
    </w:p>
    <w:p w:rsidR="00C86259" w:rsidRPr="00CE1C8F" w:rsidRDefault="00C86259" w:rsidP="00C86259">
      <w:pPr>
        <w:tabs>
          <w:tab w:val="left" w:pos="2685"/>
        </w:tabs>
        <w:rPr>
          <w:rFonts w:ascii="Arial" w:hAnsi="Arial" w:cs="Arial"/>
          <w:b/>
        </w:rPr>
      </w:pPr>
      <w:r w:rsidRPr="00CE1C8F">
        <w:rPr>
          <w:rFonts w:ascii="Arial" w:hAnsi="Arial" w:cs="Arial"/>
        </w:rPr>
        <w:t xml:space="preserve">A la fin de ce séminaire des attestations de participations vous seront délivrées </w:t>
      </w:r>
    </w:p>
    <w:p w:rsidR="00C86259" w:rsidRPr="00CE1C8F" w:rsidRDefault="00C86259" w:rsidP="00C86259">
      <w:pPr>
        <w:rPr>
          <w:rFonts w:ascii="Arial" w:hAnsi="Arial" w:cs="Arial"/>
          <w:b/>
        </w:rPr>
      </w:pPr>
    </w:p>
    <w:p w:rsidR="00C86259" w:rsidRPr="00CE1C8F" w:rsidRDefault="00C86259" w:rsidP="00C86259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CE1C8F">
        <w:rPr>
          <w:rFonts w:ascii="Arial" w:hAnsi="Arial" w:cs="Arial"/>
          <w:i/>
          <w:sz w:val="36"/>
          <w:szCs w:val="36"/>
          <w:u w:val="single"/>
        </w:rPr>
        <w:t xml:space="preserve">Inscription 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Organisme ou Entreprise :………………………………</w:t>
      </w:r>
    </w:p>
    <w:p w:rsidR="00C86259" w:rsidRDefault="00C86259" w:rsidP="00C86259">
      <w:pPr>
        <w:rPr>
          <w:rFonts w:ascii="Arial" w:hAnsi="Arial" w:cs="Arial"/>
        </w:rPr>
      </w:pPr>
      <w:r>
        <w:rPr>
          <w:rFonts w:ascii="Arial" w:hAnsi="Arial" w:cs="Arial"/>
        </w:rPr>
        <w:t>Nom et prénom du participant (e) 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…………………..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</w:t>
      </w:r>
    </w:p>
    <w:p w:rsidR="00C86259" w:rsidRPr="002D7388" w:rsidRDefault="00C86259" w:rsidP="00C86259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2D7388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 ……………………………………Fax :…………………………Mobile………………………..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</w:t>
      </w:r>
    </w:p>
    <w:p w:rsidR="00C86259" w:rsidRDefault="00C86259" w:rsidP="00C862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:……………………………………………………….</w:t>
      </w:r>
    </w:p>
    <w:p w:rsidR="00C86259" w:rsidRDefault="00C86259" w:rsidP="00C86259">
      <w:pPr>
        <w:tabs>
          <w:tab w:val="left" w:pos="5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10F" w:rsidRDefault="0026210F" w:rsidP="00F17AB4">
      <w:pPr>
        <w:tabs>
          <w:tab w:val="left" w:pos="5730"/>
        </w:tabs>
        <w:jc w:val="right"/>
        <w:rPr>
          <w:rFonts w:ascii="Arial" w:hAnsi="Arial" w:cs="Arial"/>
        </w:rPr>
      </w:pPr>
    </w:p>
    <w:p w:rsidR="00C86259" w:rsidRDefault="00C86259" w:rsidP="00F17AB4">
      <w:pPr>
        <w:tabs>
          <w:tab w:val="left" w:pos="5730"/>
        </w:tabs>
        <w:jc w:val="right"/>
      </w:pPr>
      <w:r>
        <w:rPr>
          <w:rFonts w:ascii="Arial" w:hAnsi="Arial" w:cs="Arial"/>
        </w:rPr>
        <w:t xml:space="preserve">Signature et </w:t>
      </w:r>
      <w:r w:rsidR="00F17AB4">
        <w:rPr>
          <w:rFonts w:ascii="Arial" w:hAnsi="Arial" w:cs="Arial"/>
        </w:rPr>
        <w:t>visas.</w:t>
      </w:r>
    </w:p>
    <w:sectPr w:rsidR="00C86259" w:rsidSect="00954F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132"/>
    <w:multiLevelType w:val="hybridMultilevel"/>
    <w:tmpl w:val="D5081F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27CB"/>
    <w:multiLevelType w:val="hybridMultilevel"/>
    <w:tmpl w:val="C21C4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5EC5"/>
    <w:multiLevelType w:val="hybridMultilevel"/>
    <w:tmpl w:val="0480ED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521BF"/>
    <w:multiLevelType w:val="multilevel"/>
    <w:tmpl w:val="0E7A9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4">
    <w:nsid w:val="34F71EBF"/>
    <w:multiLevelType w:val="hybridMultilevel"/>
    <w:tmpl w:val="4148C78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C6087D"/>
    <w:multiLevelType w:val="hybridMultilevel"/>
    <w:tmpl w:val="AB7EB2EE"/>
    <w:lvl w:ilvl="0" w:tplc="F8962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A02A9"/>
    <w:multiLevelType w:val="hybridMultilevel"/>
    <w:tmpl w:val="5E821754"/>
    <w:lvl w:ilvl="0" w:tplc="D58863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971B9"/>
    <w:multiLevelType w:val="hybridMultilevel"/>
    <w:tmpl w:val="E3A85828"/>
    <w:lvl w:ilvl="0" w:tplc="85EC4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164"/>
    <w:multiLevelType w:val="hybridMultilevel"/>
    <w:tmpl w:val="6FC079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A66D7"/>
    <w:multiLevelType w:val="hybridMultilevel"/>
    <w:tmpl w:val="EDCADC7E"/>
    <w:lvl w:ilvl="0" w:tplc="1DE41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702608"/>
    <w:multiLevelType w:val="hybridMultilevel"/>
    <w:tmpl w:val="896EE332"/>
    <w:lvl w:ilvl="0" w:tplc="8E68BD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AF"/>
    <w:multiLevelType w:val="hybridMultilevel"/>
    <w:tmpl w:val="7B3AC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16FF4"/>
    <w:multiLevelType w:val="hybridMultilevel"/>
    <w:tmpl w:val="4F1439F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B1B400A"/>
    <w:multiLevelType w:val="hybridMultilevel"/>
    <w:tmpl w:val="018A6B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26C87"/>
    <w:multiLevelType w:val="hybridMultilevel"/>
    <w:tmpl w:val="161EF60A"/>
    <w:lvl w:ilvl="0" w:tplc="533C94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D6F2C"/>
    <w:multiLevelType w:val="hybridMultilevel"/>
    <w:tmpl w:val="D128A9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C26E8"/>
    <w:multiLevelType w:val="hybridMultilevel"/>
    <w:tmpl w:val="85F22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F153F"/>
    <w:multiLevelType w:val="hybridMultilevel"/>
    <w:tmpl w:val="CC4E45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3"/>
  </w:num>
  <w:num w:numId="5">
    <w:abstractNumId w:val="16"/>
  </w:num>
  <w:num w:numId="6">
    <w:abstractNumId w:val="1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4208C"/>
    <w:rsid w:val="00017A6F"/>
    <w:rsid w:val="000A23AB"/>
    <w:rsid w:val="00127CB3"/>
    <w:rsid w:val="00141436"/>
    <w:rsid w:val="001B3930"/>
    <w:rsid w:val="001D65C0"/>
    <w:rsid w:val="00260DE5"/>
    <w:rsid w:val="0026210F"/>
    <w:rsid w:val="00314F55"/>
    <w:rsid w:val="0042546F"/>
    <w:rsid w:val="004C06FD"/>
    <w:rsid w:val="004D0A01"/>
    <w:rsid w:val="005D340C"/>
    <w:rsid w:val="005E2B56"/>
    <w:rsid w:val="0064208C"/>
    <w:rsid w:val="00904B6C"/>
    <w:rsid w:val="00954F52"/>
    <w:rsid w:val="0098055B"/>
    <w:rsid w:val="009E0F69"/>
    <w:rsid w:val="00A010D1"/>
    <w:rsid w:val="00A72C03"/>
    <w:rsid w:val="00C86259"/>
    <w:rsid w:val="00F1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0C"/>
  </w:style>
  <w:style w:type="paragraph" w:styleId="Titre3">
    <w:name w:val="heading 3"/>
    <w:basedOn w:val="Normal"/>
    <w:link w:val="Titre3Car"/>
    <w:uiPriority w:val="9"/>
    <w:qFormat/>
    <w:rsid w:val="0001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17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20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17A6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17A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7A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1B393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Sansinterligne">
    <w:name w:val="No Spacing"/>
    <w:uiPriority w:val="1"/>
    <w:qFormat/>
    <w:rsid w:val="00954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4FF1-B960-47DA-8D92-F49CF2FE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AHRASBUROTEC</dc:creator>
  <cp:lastModifiedBy>AHRASBUROTEC</cp:lastModifiedBy>
  <cp:revision>2</cp:revision>
  <dcterms:created xsi:type="dcterms:W3CDTF">2015-11-29T07:50:00Z</dcterms:created>
  <dcterms:modified xsi:type="dcterms:W3CDTF">2015-11-29T07:50:00Z</dcterms:modified>
</cp:coreProperties>
</file>